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media/image3.wmf" ContentType="image/x-wmf"/>
  <Override PartName="/word/media/image2.wmf" ContentType="image/x-wmf"/>
  <Override PartName="/word/media/image4.wmf" ContentType="image/x-wmf"/>
  <Override PartName="/word/media/image5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723265" cy="723265"/>
            <wp:effectExtent l="0" t="0" r="0" b="0"/>
            <wp:docPr id="1" name="image1.jpg" descr="Descrição: C:\Users\Ernani\Desktop\brasao-p-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Descrição: C:\Users\Ernani\Desktop\brasao-p-b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tabs>
          <w:tab w:val="clear" w:pos="720"/>
          <w:tab w:val="center" w:pos="4419" w:leader="none"/>
          <w:tab w:val="right" w:pos="8838" w:leader="none"/>
        </w:tabs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  <w:t>MINISTÉRIO DA EDUCAÇÃO</w:t>
      </w:r>
    </w:p>
    <w:p>
      <w:pPr>
        <w:pStyle w:val="Normal1"/>
        <w:keepNext w:val="false"/>
        <w:keepLines w:val="false"/>
        <w:widowControl/>
        <w:pBdr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  <w:t>UNIVERSIDADE FEDERAL DE SANTA CATARINA</w:t>
      </w:r>
    </w:p>
    <w:p>
      <w:pPr>
        <w:pStyle w:val="Normal1"/>
        <w:keepNext w:val="false"/>
        <w:keepLines w:val="false"/>
        <w:widowControl/>
        <w:pBdr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00" w:val="clear"/>
          <w:vertAlign w:val="baseline"/>
        </w:rPr>
      </w:pPr>
      <w:r>
        <w:rPr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00" w:val="clear"/>
          <w:vertAlign w:val="baseline"/>
        </w:rPr>
        <w:t>CABEÇALHO DO SETOR REQUERENTE</w:t>
      </w:r>
    </w:p>
    <w:p>
      <w:pPr>
        <w:pStyle w:val="Normal1"/>
        <w:keepNext w:val="false"/>
        <w:keepLines w:val="false"/>
        <w:widowControl/>
        <w:pBdr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PARA MAIORES INFORMAÇÕES, ACESSAR </w:t>
      </w:r>
      <w:hyperlink r:id="rId3">
        <w:r>
          <w:rPr>
            <w:rStyle w:val="DefaultCharacterStyle"/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HTTP://REDACAOOFICIAL.UFSC.BR</w:t>
        </w:r>
      </w:hyperlink>
    </w:p>
    <w:p>
      <w:pPr>
        <w:pStyle w:val="Normal1"/>
        <w:keepNext w:val="false"/>
        <w:keepLines w:val="false"/>
        <w:widowControl/>
        <w:pBdr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ESTUDOS TÉCNICOS PRELIMINARES</w:t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rPr>
          <w:rFonts w:ascii="Calibri" w:hAnsi="Calibri" w:eastAsia="Calibri" w:cs="Calibri"/>
          <w:sz w:val="20"/>
          <w:szCs w:val="20"/>
          <w:shd w:fill="FFF2CC" w:val="clear"/>
        </w:rPr>
      </w:pPr>
      <w:r>
        <w:rPr>
          <w:rFonts w:eastAsia="Calibri" w:cs="Calibri" w:ascii="Calibri" w:hAnsi="Calibri"/>
          <w:sz w:val="20"/>
          <w:szCs w:val="20"/>
          <w:shd w:fill="FFF2CC" w:val="clear"/>
        </w:rPr>
        <w:t>Instruções gerais:</w:t>
      </w:r>
    </w:p>
    <w:p>
      <w:pPr>
        <w:pStyle w:val="Normal1"/>
        <w:numPr>
          <w:ilvl w:val="0"/>
          <w:numId w:val="2"/>
        </w:numPr>
        <w:spacing w:lineRule="auto" w:line="276"/>
        <w:ind w:left="720" w:right="0" w:hanging="360"/>
        <w:jc w:val="both"/>
        <w:rPr>
          <w:rFonts w:ascii="Calibri" w:hAnsi="Calibri" w:eastAsia="Calibri" w:cs="Calibri"/>
          <w:sz w:val="20"/>
          <w:szCs w:val="20"/>
          <w:shd w:fill="FFF2CC" w:val="clear"/>
        </w:rPr>
      </w:pPr>
      <w:r>
        <w:rPr>
          <w:rFonts w:eastAsia="Calibri" w:cs="Calibri" w:ascii="Calibri" w:hAnsi="Calibri"/>
          <w:sz w:val="20"/>
          <w:szCs w:val="20"/>
          <w:shd w:fill="FFF2CC" w:val="clear"/>
        </w:rPr>
        <w:t>Este formulário corresponde ao exigido na IN nº 40/2020/SEGES/ME e se destina a facilitar a elaboração do ETP para posterior transposição ao sistema ETP Digital;</w:t>
      </w:r>
    </w:p>
    <w:p>
      <w:pPr>
        <w:pStyle w:val="Normal1"/>
        <w:numPr>
          <w:ilvl w:val="0"/>
          <w:numId w:val="2"/>
        </w:numPr>
        <w:spacing w:lineRule="auto" w:line="276"/>
        <w:ind w:left="720" w:right="0" w:hanging="360"/>
        <w:jc w:val="both"/>
        <w:rPr>
          <w:rFonts w:ascii="Calibri" w:hAnsi="Calibri" w:eastAsia="Calibri" w:cs="Calibri"/>
          <w:sz w:val="20"/>
          <w:szCs w:val="20"/>
          <w:shd w:fill="FFF2CC" w:val="clear"/>
        </w:rPr>
      </w:pPr>
      <w:r>
        <w:rPr>
          <w:rFonts w:eastAsia="Calibri" w:cs="Calibri" w:ascii="Calibri" w:hAnsi="Calibri"/>
          <w:sz w:val="20"/>
          <w:szCs w:val="20"/>
          <w:shd w:fill="FFF2CC" w:val="clear"/>
        </w:rPr>
        <w:t>Os itens em vermelho devem, obrigatoriamente, ser preenchidos. Os demais são facultativos, devendo conter a justificativa para o não preenchimento no próprio item;</w:t>
      </w:r>
    </w:p>
    <w:p>
      <w:pPr>
        <w:pStyle w:val="Normal1"/>
        <w:numPr>
          <w:ilvl w:val="0"/>
          <w:numId w:val="2"/>
        </w:numPr>
        <w:spacing w:lineRule="auto" w:line="276"/>
        <w:ind w:left="720" w:right="0" w:hanging="360"/>
        <w:jc w:val="both"/>
        <w:rPr>
          <w:rFonts w:ascii="Calibri" w:hAnsi="Calibri" w:eastAsia="Calibri" w:cs="Calibri"/>
          <w:sz w:val="20"/>
          <w:szCs w:val="20"/>
          <w:shd w:fill="FFF2CC" w:val="clear"/>
        </w:rPr>
      </w:pPr>
      <w:r>
        <w:rPr>
          <w:rFonts w:eastAsia="Calibri" w:cs="Calibri" w:ascii="Calibri" w:hAnsi="Calibri"/>
          <w:sz w:val="20"/>
          <w:szCs w:val="20"/>
          <w:shd w:fill="FFF2CC" w:val="clear"/>
        </w:rPr>
        <w:t>Substituir as instruções de cada item pela resposta correspondente;</w:t>
      </w:r>
    </w:p>
    <w:p>
      <w:pPr>
        <w:pStyle w:val="Normal1"/>
        <w:numPr>
          <w:ilvl w:val="0"/>
          <w:numId w:val="0"/>
        </w:numPr>
        <w:spacing w:lineRule="auto" w:line="276"/>
        <w:ind w:left="1080" w:right="0" w:hanging="0"/>
        <w:jc w:val="both"/>
        <w:rPr>
          <w:rFonts w:ascii="Calibri" w:hAnsi="Calibri" w:eastAsia="Calibri" w:cs="Calibri"/>
          <w:color w:val="FF0000"/>
          <w:sz w:val="20"/>
          <w:szCs w:val="20"/>
          <w:shd w:fill="FFF2CC" w:val="clear"/>
        </w:rPr>
      </w:pPr>
      <w:r>
        <w:rPr>
          <w:rFonts w:eastAsia="Calibri" w:cs="Calibri" w:ascii="Calibri" w:hAnsi="Calibri"/>
          <w:color w:val="FF0000"/>
          <w:sz w:val="20"/>
          <w:szCs w:val="20"/>
          <w:shd w:fill="FFF2CC" w:val="clear"/>
        </w:rPr>
      </w:r>
    </w:p>
    <w:tbl>
      <w:tblPr>
        <w:tblW w:w="9074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74"/>
      </w:tblGrid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1 - Informações Básicas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bCs/>
              </w:rPr>
              <w:t>Setor Requisitante</w:t>
            </w:r>
            <w:r>
              <w:rPr>
                <w:rFonts w:eastAsia="Calibri" w:cs="Calibri" w:ascii="Calibri" w:hAnsi="Calibri"/>
              </w:rPr>
              <w:t>: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bCs/>
              </w:rPr>
              <w:t>Responsáve</w:t>
            </w:r>
            <w:r>
              <w:rPr>
                <w:rFonts w:eastAsia="Calibri" w:cs="Calibri" w:ascii="Calibri" w:hAnsi="Calibri"/>
                <w:b/>
                <w:bCs/>
              </w:rPr>
              <w:t>is</w:t>
            </w:r>
            <w:r>
              <w:rPr>
                <w:rFonts w:eastAsia="Calibri" w:cs="Calibri" w:ascii="Calibri" w:hAnsi="Calibri"/>
              </w:rPr>
              <w:t>:</w:t>
              <w:br/>
              <w:br/>
            </w:r>
            <w:r>
              <w:rPr>
                <w:rFonts w:eastAsia="Calibri" w:cs="Calibri" w:ascii="Calibri" w:hAnsi="Calibri"/>
                <w:b/>
                <w:bCs/>
              </w:rPr>
              <w:t>Grupo de Itens</w:t>
            </w:r>
            <w:r>
              <w:rPr>
                <w:rFonts w:eastAsia="Calibri" w:cs="Calibri" w:ascii="Calibri" w:hAnsi="Calibri"/>
              </w:rPr>
              <w:t xml:space="preserve">: </w:t>
            </w:r>
            <w:r>
              <w:rPr>
                <w:rFonts w:eastAsia="Calibri" w:cs="Calibri" w:ascii="Calibri" w:hAnsi="Calibri"/>
                <w:b/>
                <w:color w:val="0070C0"/>
              </w:rPr>
              <w:t>Exemplo:</w:t>
            </w:r>
            <w:r>
              <w:rPr>
                <w:rFonts w:eastAsia="Calibri" w:cs="Calibri" w:ascii="Calibri" w:hAnsi="Calibri"/>
                <w:b w:val="false"/>
                <w:bCs w:val="false"/>
                <w:color w:val="0070C0"/>
              </w:rPr>
              <w:t xml:space="preserve"> 099.03 – Materiais de Laboratório – Vidraria</w:t>
            </w:r>
            <w:r>
              <w:rPr>
                <w:rFonts w:eastAsia="Calibri" w:cs="Calibri" w:ascii="Calibri" w:hAnsi="Calibri"/>
                <w:color w:val="0070C0"/>
              </w:rPr>
              <w:t>.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2 - Descrição da necessidade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Descrição da necessidade da contratação, considerado o problema a ser resolvido sob a perspectiva do interesse público.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pBdr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color w:val="0070C0"/>
              </w:rPr>
            </w:pPr>
            <w:r>
              <w:rPr>
                <w:rFonts w:eastAsia="Calibri" w:cs="Calibri" w:ascii="Calibri" w:hAnsi="Calibri"/>
                <w:b/>
                <w:color w:val="0070C0"/>
              </w:rPr>
              <w:t xml:space="preserve">Exemplo: </w:t>
            </w:r>
            <w:r>
              <w:rPr>
                <w:rFonts w:eastAsia="Calibri" w:cs="Calibri" w:ascii="Calibri" w:hAnsi="Calibri"/>
                <w:color w:val="0070C0"/>
              </w:rPr>
              <w:t>Existe a necessidade de projeção de imagens captadas pelos microscópios, dos laboratórios XXXX, XXXX, XXXX e XXXX, para facilitar a explicação das microestruturas dos materiais analisados. Ressalta-se que as disciplinas que dependem deste item já estão sendo ministradas, de modo adaptado e inadequado, sem a projeção das imagens transmitidas pelos microscópios.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3 - Área requisitante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Campus Blumenau </w:t>
            </w:r>
            <w:r>
              <w:rPr>
                <w:rFonts w:eastAsia="Calibri" w:cs="Calibri" w:ascii="Calibri" w:hAnsi="Calibri"/>
                <w:shd w:fill="FFFF00" w:val="clear"/>
              </w:rPr>
              <w:t>(NÃO ALTERAR)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4 - Descrição dos requisitos da contratação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Descrição dos requisitos necessários e suficientes à escolha da solução, prevendo critérios e práticas de sustentabilidade.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pBdr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color w:val="0070C0"/>
              </w:rPr>
            </w:pPr>
            <w:r>
              <w:rPr>
                <w:rFonts w:eastAsia="Calibri" w:cs="Calibri" w:ascii="Calibri" w:hAnsi="Calibri"/>
                <w:b/>
                <w:color w:val="0070C0"/>
              </w:rPr>
              <w:t xml:space="preserve">Exemplo: </w:t>
            </w:r>
            <w:r>
              <w:rPr>
                <w:rFonts w:eastAsia="Calibri" w:cs="Calibri" w:ascii="Calibri" w:hAnsi="Calibri"/>
                <w:color w:val="0070C0"/>
              </w:rPr>
              <w:t>Os requisitos necessários ao equipamento correspondem ao tamanho mínimo da tela de 55 polegadas, com resolução mínima de 1920 x 1080 pixels (FullHD), entradas USB e HDMI e WI-FI integrado, necessário à comunicação com os microscópios utilizados no laboratório. Além disso, a tensão do equipamento deve corresponder à utilizada no prédio, sendo de 220 volts ou bivolt. Tendo em vista a sustentabilidade, há previsão para que o equipamento possua CLASSE A de Eficiência Energética.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5 - Levantamento de mercado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Levantamento de mercado, que consiste na prospecção e análise das alternativas possíveis de soluções, podendo, entre outras opções: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a) ser consideradas contratações similares feitas por outros órgãos e entidades, com objetivo de identificar a existência de novas metodologias, tecnologias ou inovações que melhor atendam às necessidades da administração; 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b) ser realizada consulta, audiência pública ou diálogo transparente com potenciais contratadas, para coleta de contribuições.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pBdr/>
              <w:bidi w:val="0"/>
              <w:jc w:val="left"/>
              <w:rPr>
                <w:rFonts w:ascii="Calibri" w:hAnsi="Calibri" w:eastAsia="Calibri" w:cs="Calibri"/>
                <w:color w:val="0070C0"/>
              </w:rPr>
            </w:pPr>
            <w:r>
              <w:rPr>
                <w:rFonts w:eastAsia="Calibri" w:cs="Calibri" w:ascii="Calibri" w:hAnsi="Calibri"/>
                <w:b/>
                <w:color w:val="0070C0"/>
              </w:rPr>
              <w:t xml:space="preserve">Exemplo: </w:t>
            </w:r>
            <w:r>
              <w:rPr>
                <w:rFonts w:eastAsia="Calibri" w:cs="Calibri" w:ascii="Calibri" w:hAnsi="Calibri"/>
                <w:color w:val="0070C0"/>
              </w:rPr>
              <w:t>Apesar de existirem projetores que poderiam realizar a mesma função, o Televisor permite a exibição da imagem com melhor qualidade para ministração das aulas. Sendo assim, a prática de mercado para atendimento da necessidade corresponde ao material que se pretende adquirir. Além disso, existem vários fornecedores do item que podem ser contratados.</w:t>
            </w:r>
          </w:p>
          <w:p>
            <w:pPr>
              <w:pStyle w:val="NormalWeb"/>
              <w:widowControl w:val="false"/>
              <w:shd w:val="clear" w:color="auto" w:fill="FFFFFF"/>
              <w:tabs>
                <w:tab w:val="clear" w:pos="720"/>
                <w:tab w:val="left" w:pos="1134" w:leader="none"/>
              </w:tabs>
              <w:bidi w:val="0"/>
              <w:spacing w:beforeAutospacing="0" w:before="120" w:afterAutospacing="0" w:after="120"/>
              <w:jc w:val="both"/>
              <w:textAlignment w:val="baseline"/>
              <w:rPr>
                <w:rFonts w:ascii="Calibri" w:hAnsi="Calibri" w:eastAsia="Calibri" w:cs="Calibri"/>
                <w:color w:val="0070C0"/>
              </w:rPr>
            </w:pPr>
            <w:r>
              <w:rPr>
                <w:rFonts w:eastAsia="Calibri" w:cs="Calibri" w:ascii="Calibri" w:hAnsi="Calibri"/>
                <w:color w:val="0070C0"/>
              </w:rPr>
              <w:t xml:space="preserve">Em uma prévia análise no site de Painel de Compras/Compras Governamentais, é possível encontrar </w:t>
            </w:r>
            <w:r>
              <w:rPr>
                <w:rFonts w:eastAsia="Calibri" w:cs="Calibri" w:ascii="Calibri" w:hAnsi="Calibri"/>
                <w:color w:val="0070C0"/>
                <w:sz w:val="24"/>
                <w:szCs w:val="24"/>
              </w:rPr>
              <w:t>resultados de outros órgãos que utilizam formas similares de contratação, dentre os quais se cita:</w:t>
            </w:r>
          </w:p>
          <w:p>
            <w:pPr>
              <w:pStyle w:val="NormalWeb"/>
              <w:widowControl w:val="false"/>
              <w:numPr>
                <w:ilvl w:val="1"/>
                <w:numId w:val="4"/>
              </w:numPr>
              <w:shd w:val="clear" w:color="auto" w:fill="FFFFFF"/>
              <w:tabs>
                <w:tab w:val="clear" w:pos="720"/>
                <w:tab w:val="left" w:pos="1134" w:leader="none"/>
              </w:tabs>
              <w:bidi w:val="0"/>
              <w:spacing w:beforeAutospacing="0" w:before="120" w:afterAutospacing="0" w:after="0"/>
              <w:ind w:left="1560" w:hanging="480"/>
              <w:jc w:val="both"/>
              <w:textAlignment w:val="baseline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  <w:sz w:val="24"/>
                <w:szCs w:val="24"/>
              </w:rPr>
              <w:t>UASG XXXXX PE SRP XXX/2019</w:t>
            </w:r>
          </w:p>
          <w:p>
            <w:pPr>
              <w:pStyle w:val="NormalWeb"/>
              <w:widowControl w:val="false"/>
              <w:numPr>
                <w:ilvl w:val="1"/>
                <w:numId w:val="3"/>
              </w:numPr>
              <w:pBdr/>
              <w:shd w:val="clear" w:color="auto" w:fill="FFFFFF"/>
              <w:tabs>
                <w:tab w:val="clear" w:pos="720"/>
                <w:tab w:val="left" w:pos="1134" w:leader="none"/>
              </w:tabs>
              <w:bidi w:val="0"/>
              <w:spacing w:lineRule="auto" w:line="240" w:beforeAutospacing="0" w:before="0" w:afterAutospacing="0" w:after="120"/>
              <w:ind w:left="1560" w:hanging="480"/>
              <w:jc w:val="both"/>
              <w:textAlignment w:val="baseline"/>
              <w:rPr>
                <w:rFonts w:ascii="Calibri" w:hAnsi="Calibri" w:eastAsia="Calibri" w:cs="Calibri"/>
                <w:color w:val="0070C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70C0"/>
                <w:sz w:val="24"/>
                <w:szCs w:val="24"/>
              </w:rPr>
              <w:t>UASG XXXXX PE SRP XXX/2019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6 -</w:t>
            </w:r>
            <w:r>
              <w:rPr>
                <w:rFonts w:eastAsia="Calibri" w:cs="Calibri" w:ascii="Calibri" w:hAnsi="Calibri"/>
                <w:color w:val="FF0000"/>
              </w:rPr>
              <w:t xml:space="preserve"> </w:t>
            </w:r>
            <w:r>
              <w:rPr>
                <w:rFonts w:eastAsia="Calibri" w:cs="Calibri" w:ascii="Calibri" w:hAnsi="Calibri"/>
                <w:b/>
                <w:color w:val="FF0000"/>
              </w:rPr>
              <w:t>Descrição da solução como um todo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Descrição da solução como um todo, inclusive das exigências relacionadas à manutenção e à assistência técnica, quando for o caso, acompanhada das justificativas técnica e econômica da escolha do tipo de solução.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Calibri" w:cs="Calibri"/>
                <w:color w:val="0070C0"/>
              </w:rPr>
            </w:pPr>
            <w:r>
              <w:rPr>
                <w:rFonts w:eastAsia="Calibri" w:cs="Calibri" w:ascii="Calibri" w:hAnsi="Calibri"/>
                <w:b/>
                <w:color w:val="0070C0"/>
              </w:rPr>
              <w:t xml:space="preserve">Exemplo: </w:t>
            </w:r>
            <w:r>
              <w:rPr>
                <w:rFonts w:eastAsia="Calibri" w:cs="Calibri" w:ascii="Calibri" w:hAnsi="Calibri"/>
                <w:color w:val="0070C0"/>
              </w:rPr>
              <w:t>Descrição do Item: Televisor Smart TV; Tela a partir de 55 polegadas; Tecnologia LED; WI-FI integrado; Conversor digital integrado; Entradas USB no mínimo 2 e pelo menos 2 HDMI; Resolução mínima de 1920 x 1080 pixels (FullHD) ou superior; Tensão de 220 volts ou bivolt 60 Hz; Classe de eficiência A na Etiqueta Nacional de Conservação de Energia (ENCE) de acordo com a IN no 2/2014 SLTI/MP; Com controle remoto; Garantia mínima de 12 meses.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libri" w:hAnsi="Calibri" w:eastAsia="Calibri" w:cs="Calibri"/>
                <w:color w:val="0070C0"/>
              </w:rPr>
            </w:pPr>
            <w:r>
              <w:rPr>
                <w:rFonts w:eastAsia="Calibri" w:cs="Calibri" w:ascii="Calibri" w:hAnsi="Calibri"/>
                <w:color w:val="0070C0"/>
              </w:rPr>
            </w:r>
          </w:p>
          <w:p>
            <w:pPr>
              <w:pStyle w:val="Normal"/>
              <w:widowControl w:val="false"/>
              <w:pBdr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70C0"/>
              </w:rPr>
            </w:pPr>
            <w:r>
              <w:rPr>
                <w:rFonts w:eastAsia="Calibri" w:cs="Calibri" w:ascii="Calibri" w:hAnsi="Calibri"/>
                <w:i/>
                <w:iCs/>
                <w:color w:val="0070C0"/>
              </w:rPr>
              <w:t>Justificativa</w:t>
            </w:r>
            <w:r>
              <w:rPr>
                <w:rFonts w:eastAsia="Calibri" w:cs="Calibri" w:ascii="Calibri" w:hAnsi="Calibri"/>
                <w:color w:val="0070C0"/>
              </w:rPr>
              <w:t>: Os aparelhos de SmartTV, com tela a partir de 55 polegadas, permitem a adequada projeção de imagens, acreditamos que essa seja a melhor opção quanto à vantagem financeira e operacional para a necessidade da administração pública.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7 - Estimativa das quantidades a serem contratadas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Estimativa das quantidades a serem contratadas, acompanhada das memórias de cálculo e dos documentos que lhe dão suporte, considerando a interdependência com outras contratações, de modo a possibilitar economia de escala.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pBdr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  <w:color w:val="0070C0"/>
              </w:rPr>
              <w:t xml:space="preserve">Exemplo: </w:t>
            </w:r>
            <w:r>
              <w:rPr>
                <w:rFonts w:eastAsia="Calibri" w:cs="Calibri" w:ascii="Calibri" w:hAnsi="Calibri"/>
                <w:color w:val="0070C0"/>
              </w:rPr>
              <w:t>Estima-se a necessidade de quatro unidades do equipamento, tendo em vista os três microscópios instalados nos laboratórios X, X e X e a necessidade de aquisição de mais microscópio para conclusão do laboratório X.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8 - Estimativa do valor da contratação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pBdr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  <w:color w:val="0070C0"/>
              </w:rPr>
              <w:t xml:space="preserve">Exemplo: </w:t>
            </w:r>
            <w:r>
              <w:rPr>
                <w:rFonts w:eastAsia="Calibri" w:cs="Calibri" w:ascii="Calibri" w:hAnsi="Calibri"/>
                <w:color w:val="0070C0"/>
              </w:rPr>
              <w:t>Estima-se que o valor unitário referencial de cada televisor seja de R$ 3.000,00, totalizando a estimativa de R$ 12.000,00, considerando a aquisição das quatro unidades.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9 - Justificativas para o parcelamento ou não da solução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Justificativas para o parcelamento ou não da solução, se aplicável (o parcelamento, neste caso, trata do fracionamento da solução em itens independentes, ou seja, se há a possibilidade de a solução possuir mais de um vencedor - o que é recomendado).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pBdr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color w:val="0070C0"/>
              </w:rPr>
              <w:t xml:space="preserve">Exemplo: </w:t>
            </w:r>
            <w:r>
              <w:rPr>
                <w:rFonts w:eastAsia="Calibri" w:cs="Calibri" w:ascii="Calibri" w:hAnsi="Calibri"/>
                <w:color w:val="0070C0"/>
              </w:rPr>
              <w:t>O parcelamento da solução não é tecnicamente viável, uma vez que se trata de material licitado e fornecido no mercado individualmente.</w:t>
            </w:r>
            <w:r>
              <w:rPr>
                <w:rFonts w:eastAsia="Calibri" w:cs="Calibri" w:ascii="Calibri" w:hAnsi="Calibri"/>
                <w:b/>
                <w:color w:val="0070C0"/>
              </w:rPr>
              <w:t xml:space="preserve"> </w:t>
            </w:r>
            <w:r>
              <w:rPr>
                <w:rFonts w:eastAsia="Calibri" w:cs="Calibri" w:ascii="Calibri" w:hAnsi="Calibri"/>
                <w:color w:val="0070C0"/>
              </w:rPr>
              <w:t>Não haverá agrupamento de itens.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10 - Contratações correlatas e/ou interdependentes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Contratações correlatas e/ou interdependentes.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pBdr/>
              <w:bidi w:val="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  <w:color w:val="0070C0"/>
              </w:rPr>
              <w:t xml:space="preserve">Exemplo 1: </w:t>
            </w:r>
            <w:r>
              <w:rPr>
                <w:rFonts w:eastAsia="Calibri" w:cs="Calibri" w:ascii="Calibri" w:hAnsi="Calibri"/>
                <w:color w:val="0070C0"/>
              </w:rPr>
              <w:t>Serão necessários suportes articulados para instalação da TV, com previsão de licitação na Janela de Compras - 2021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  <w:color w:val="0070C0"/>
              </w:rPr>
              <w:t>correspondente, a sua ausência não inviabiliza a utilização do televisor que será temporariamente alocado sobre móveis dispostos nos laboratórios.</w:t>
            </w:r>
          </w:p>
          <w:p>
            <w:pPr>
              <w:pStyle w:val="Normal"/>
              <w:widowControl w:val="false"/>
              <w:pBdr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  <w:color w:val="0070C0"/>
              </w:rPr>
              <w:t xml:space="preserve">Exemplo 2: </w:t>
            </w:r>
            <w:r>
              <w:rPr>
                <w:rFonts w:eastAsia="Calibri" w:cs="Calibri" w:ascii="Calibri" w:hAnsi="Calibri"/>
                <w:color w:val="0070C0"/>
              </w:rPr>
              <w:t>A presente contratação ocorre de forma independente, não dependendo de qualquer outro processo licitatório para que possa surtir seus efeitos.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11 - Alinhamento entre a contratação e o planejamento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(</w:t>
            </w:r>
            <w:r>
              <w:rPr>
                <w:rFonts w:eastAsia="Calibri" w:cs="Calibri" w:ascii="Calibri" w:hAnsi="Calibri"/>
                <w:highlight w:val="yellow"/>
              </w:rPr>
              <w:t>INFORMAÇÃO A SER ALTERADA PELO GCL, NÃO EDITAR)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Demonstração do alinhamento entre a contratação e o planejamento do órgão ou entidade, identificando a previsão no Plano Anual de Contratações. Indicar os números de registro da inserção dos itens no sistema PGC.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12 - Resultados pretendidos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Resultados pretendidos, em termos de efetividade e de desenvolvimento nacional sustentável. </w:t>
            </w:r>
            <w:r>
              <w:rPr>
                <w:rFonts w:eastAsia="Calibri" w:cs="Calibri" w:ascii="Calibri" w:hAnsi="Calibri"/>
              </w:rPr>
              <w:t>(</w:t>
            </w:r>
            <w:r>
              <w:rPr>
                <w:rFonts w:eastAsia="Calibri" w:cs="Calibri" w:ascii="Calibri" w:hAnsi="Calibri"/>
              </w:rPr>
              <w:t>em termos de economicidade, eficácia, eficiência, de melhor aproveitamento dos recursos humanos, materiais ou financeiros disponíveis.)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pBdr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70C0"/>
              </w:rPr>
            </w:pPr>
            <w:r>
              <w:rPr>
                <w:rFonts w:eastAsia="Calibri" w:cs="Calibri" w:ascii="Calibri" w:hAnsi="Calibri"/>
                <w:b/>
                <w:color w:val="0070C0"/>
              </w:rPr>
              <w:t xml:space="preserve">Exemplo: </w:t>
            </w:r>
            <w:r>
              <w:rPr>
                <w:rFonts w:eastAsia="Calibri" w:cs="Calibri" w:ascii="Calibri" w:hAnsi="Calibri"/>
                <w:color w:val="0070C0"/>
              </w:rPr>
              <w:t>A aquisição resultará benéfica e efetiva, tendo em vista a melhoria nas condições de ensino e pesquisa nos laboratórios do Curso XXX, possibilitando que sejam aproveitados de melhor forma os microscópios já instalados.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13 - Providências a serem adotadas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Providências a serem adotadas pela administração previamente à celebração do contrato, inclusive quanto à capacitação de servidores ou de empregados para fiscalização e gestão contratual ou adequação do ambiente da organização.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pBdr/>
              <w:bidi w:val="0"/>
              <w:jc w:val="both"/>
              <w:rPr>
                <w:rFonts w:ascii="Calibri" w:hAnsi="Calibri" w:eastAsia="Calibri" w:cs="Calibri"/>
                <w:color w:val="0070C0"/>
              </w:rPr>
            </w:pPr>
            <w:r>
              <w:rPr>
                <w:rFonts w:eastAsia="Calibri" w:cs="Calibri" w:ascii="Calibri" w:hAnsi="Calibri"/>
                <w:b/>
                <w:color w:val="0070C0"/>
              </w:rPr>
              <w:t xml:space="preserve">Exemplo: </w:t>
            </w:r>
            <w:r>
              <w:rPr>
                <w:rFonts w:eastAsia="Calibri" w:cs="Calibri" w:ascii="Calibri" w:hAnsi="Calibri"/>
                <w:color w:val="0070C0"/>
              </w:rPr>
              <w:t>Não há necessidade de capacitação para uso do equipamento, nem de adequação do ambiente para que a contratação surta efeito. Tendo em vista que as instalações elétricas necessárias a sua instalação já estão presentes.</w:t>
            </w:r>
          </w:p>
          <w:p>
            <w:pPr>
              <w:pStyle w:val="Normal"/>
              <w:widowControl w:val="false"/>
              <w:pBdr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70C0"/>
              </w:rPr>
            </w:pPr>
            <w:r>
              <w:rPr>
                <w:rFonts w:eastAsia="Calibri" w:cs="Calibri" w:ascii="Calibri" w:hAnsi="Calibri"/>
                <w:color w:val="0070C0"/>
              </w:rPr>
              <w:t>A instituição já possui quadro técnico capaz de acompanhar a contratação.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14 - Possíveis impactos ambientais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Possíveis impactos ambientais e respectivas medidas de tratamento.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pBdr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  <w:color w:val="0070C0"/>
              </w:rPr>
              <w:t xml:space="preserve">Exemplo: </w:t>
            </w:r>
            <w:r>
              <w:rPr>
                <w:rFonts w:eastAsia="Calibri" w:cs="Calibri" w:ascii="Calibri" w:hAnsi="Calibri"/>
                <w:color w:val="0070C0"/>
              </w:rPr>
              <w:t>Não há impactos ambientais resultantes da contratação</w:t>
            </w:r>
            <w:bookmarkStart w:id="0" w:name="_GoBack"/>
            <w:bookmarkEnd w:id="0"/>
            <w:r>
              <w:rPr>
                <w:rFonts w:eastAsia="Calibri" w:cs="Calibri" w:ascii="Calibri" w:hAnsi="Calibri"/>
                <w:color w:val="0070C0"/>
              </w:rPr>
              <w:t>.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15 - Declaração de viabilidade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Posicionamento conclusivo sobre a viabilidade e razoabilidade da contratação.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Web"/>
              <w:widowControl w:val="false"/>
              <w:shd w:val="clear" w:color="auto" w:fill="FFFFFF"/>
              <w:bidi w:val="0"/>
              <w:spacing w:beforeAutospacing="0" w:before="0" w:after="28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Informe abaixo a </w:t>
            </w:r>
            <w:r>
              <w:rPr>
                <w:rFonts w:ascii="Calibri" w:hAnsi="Calibri"/>
                <w:b/>
                <w:bCs/>
              </w:rPr>
              <w:t xml:space="preserve">viabilidade </w:t>
            </w:r>
            <w:r>
              <w:rPr>
                <w:rFonts w:ascii="Calibri" w:hAnsi="Calibri"/>
              </w:rPr>
              <w:t xml:space="preserve">do objeto deste ETP. Caso o projeto seja inviável, é obrigatório </w:t>
            </w:r>
            <w:r>
              <w:rPr>
                <w:rFonts w:ascii="Calibri" w:hAnsi="Calibri"/>
                <w:b/>
                <w:bCs/>
              </w:rPr>
              <w:t>informar a justificativa de inviabilidade</w:t>
            </w:r>
            <w:r>
              <w:rPr>
                <w:rFonts w:ascii="Calibri" w:hAnsi="Calibri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mc:AlternateContent>
                <mc:Choice Requires="wps">
                  <w:drawing>
                    <wp:inline distT="0" distB="0" distL="0" distR="0">
                      <wp:extent cx="256540" cy="220345"/>
                      <wp:effectExtent l="0" t="0" r="0" b="0"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255960" cy="219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style="position:absolute;margin-left:0pt;margin-top:-17.35pt;width:20.1pt;height:17.25pt;mso-wrap-style:none;v-text-anchor:middle;mso-position-vertical:top" type="shapetype_75">
                      <v:imagedata r:id="rId5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Esta equipe de planejamento declara </w:t>
            </w:r>
            <w:r>
              <w:rPr>
                <w:rFonts w:ascii="Calibri" w:hAnsi="Calibri"/>
                <w:b/>
                <w:bCs/>
              </w:rPr>
              <w:t xml:space="preserve">viável </w:t>
            </w:r>
            <w:r>
              <w:rPr>
                <w:rFonts w:ascii="Calibri" w:hAnsi="Calibri"/>
              </w:rPr>
              <w:t>esta contratação com base neste Estudo Técnico Preliminar, consoante o inciso XIII, art 7º da IN 40 de 22 de maio de 2020, da SEGES/ME.</w:t>
            </w:r>
          </w:p>
          <w:p>
            <w:pPr>
              <w:pStyle w:val="Normal"/>
              <w:widowControl w:val="false"/>
              <w:pBdr/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mc:AlternateContent>
                <mc:Choice Requires="wps">
                  <w:drawing>
                    <wp:inline distT="0" distB="0" distL="0" distR="0">
                      <wp:extent cx="256540" cy="220345"/>
                      <wp:effectExtent l="0" t="0" r="0" b="0"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255960" cy="219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style="position:absolute;margin-left:0pt;margin-top:-17.35pt;width:20.1pt;height:17.25pt;mso-wrap-style:none;v-text-anchor:middle;mso-position-vertical:top" type="shapetype_75">
                      <v:imagedata r:id="rId7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 w:cs="Calibri" w:ascii="Calibri" w:hAnsi="Calibri"/>
              </w:rPr>
              <w:t xml:space="preserve">Esta equipe de planejamento declara </w:t>
            </w:r>
            <w:r>
              <w:rPr>
                <w:rFonts w:eastAsia="Calibri" w:cs="Calibri" w:ascii="Calibri" w:hAnsi="Calibri"/>
                <w:b/>
                <w:bCs/>
              </w:rPr>
              <w:t xml:space="preserve">inviável </w:t>
            </w:r>
            <w:r>
              <w:rPr>
                <w:rFonts w:eastAsia="Calibri" w:cs="Calibri" w:ascii="Calibri" w:hAnsi="Calibri"/>
              </w:rPr>
              <w:t>esta contratação com base neste Estudo Técnico Preliminar, consoante o inciso XIII, art 7º da IN 40 de 22 de maio de 2020, da SEGES/ME.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>16 - Responsáveis</w:t>
            </w:r>
          </w:p>
        </w:tc>
      </w:tr>
      <w:tr>
        <w:trPr/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Lista de responsáveis pelo ETP cadastrado.</w:t>
            </w:r>
          </w:p>
        </w:tc>
      </w:tr>
    </w:tbl>
    <w:p>
      <w:pPr>
        <w:pStyle w:val="Normal1"/>
        <w:spacing w:lineRule="auto" w:line="276"/>
        <w:jc w:val="left"/>
        <w:rPr/>
      </w:pPr>
      <w:r>
        <w:rPr/>
      </w:r>
    </w:p>
    <w:sectPr>
      <w:footerReference w:type="default" r:id="rId8"/>
      <w:type w:val="nextPage"/>
      <w:pgSz w:w="11906" w:h="16838"/>
      <w:pgMar w:left="1700" w:right="1133" w:header="0" w:top="566" w:footer="566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Georgia">
    <w:charset w:val="01"/>
    <w:family w:val="roman"/>
    <w:pitch w:val="default"/>
  </w:font>
  <w:font w:name="Calibri">
    <w:charset w:val="01"/>
    <w:family w:val="roman"/>
    <w:pitch w:val="default"/>
  </w:font>
  <w:font w:name="Calibri">
    <w:charset w:val="01"/>
    <w:family w:val="swiss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center"/>
      <w:rPr/>
    </w:pPr>
    <w:r>
      <w:rPr>
        <w:rFonts w:eastAsia="Calibri" w:cs="Calibri" w:ascii="Calibri" w:hAnsi="Calibri"/>
        <w:sz w:val="20"/>
        <w:szCs w:val="20"/>
      </w:rPr>
      <w:t xml:space="preserve">Estudos Técnicos Preliminares (ETP) - 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>
        <w:rFonts w:eastAsia="Calibri" w:cs="Calibri" w:ascii="Calibri" w:hAnsi="Calibri"/>
        <w:sz w:val="20"/>
        <w:szCs w:val="20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ongti SC" w:cs="Arial Unicode M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ongti SC" w:cs="Arial Unicode MS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tabs>
        <w:tab w:val="clear" w:pos="720"/>
        <w:tab w:val="left" w:pos="960" w:leader="none"/>
        <w:tab w:val="left" w:pos="1134" w:leader="none"/>
        <w:tab w:val="left" w:pos="2880" w:leader="none"/>
        <w:tab w:val="left" w:pos="3840" w:leader="none"/>
        <w:tab w:val="left" w:pos="4800" w:leader="none"/>
        <w:tab w:val="left" w:pos="5760" w:leader="none"/>
        <w:tab w:val="left" w:pos="6720" w:leader="none"/>
      </w:tabs>
      <w:ind w:left="0" w:right="0" w:firstLine="1418"/>
      <w:jc w:val="both"/>
    </w:pPr>
    <w:rPr/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iberation Serif;Times New Roman" w:hAnsi="Liberation Serif;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erif;Times New Roman" w:hAnsi="Liberation Serif;Times New Roman" w:cs="Arial Unicode MS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Songti SC" w:cs="Arial Unicode MS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redacaooficial.ufsc.br/" TargetMode="External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4.wmf"/><Relationship Id="rId7" Type="http://schemas.openxmlformats.org/officeDocument/2006/relationships/image" Target="media/image5.wmf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LibreOffice/7.0.5.2$MacOSX_X86_64 LibreOffice_project/64390860c6cd0aca4beafafcfd84613dd9dfb63a</Application>
  <AppVersion>15.0000</AppVersion>
  <Pages>4</Pages>
  <Words>1225</Words>
  <Characters>7050</Characters>
  <CharactersWithSpaces>8207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>Leandro Rocha</cp:lastModifiedBy>
  <dcterms:modified xsi:type="dcterms:W3CDTF">2021-04-29T09:54:51Z</dcterms:modified>
  <cp:revision>8</cp:revision>
  <dc:subject/>
  <dc:title/>
</cp:coreProperties>
</file>